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7E071" w14:textId="77777777" w:rsidR="001A62B6" w:rsidRPr="001A62B6" w:rsidRDefault="001A62B6" w:rsidP="003A62B8">
      <w:p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eastAsia="ro-RO"/>
        </w:rPr>
      </w:pPr>
      <w:r w:rsidRPr="001A62B6">
        <w:rPr>
          <w:rFonts w:eastAsia="Times New Roman" w:cstheme="minorHAnsi"/>
          <w:b/>
          <w:bCs/>
          <w:iCs/>
          <w:sz w:val="24"/>
          <w:szCs w:val="24"/>
          <w:lang w:eastAsia="ro-RO"/>
        </w:rPr>
        <w:t xml:space="preserve">Program: </w:t>
      </w:r>
      <w:r w:rsidRPr="001A62B6">
        <w:rPr>
          <w:rFonts w:eastAsia="Times New Roman" w:cstheme="minorHAnsi"/>
          <w:iCs/>
          <w:sz w:val="24"/>
          <w:szCs w:val="24"/>
          <w:lang w:eastAsia="ro-RO"/>
        </w:rPr>
        <w:t>Programul Regional București-Ilfov 2021-2027</w:t>
      </w:r>
    </w:p>
    <w:p w14:paraId="0569FE1C" w14:textId="77777777" w:rsidR="001A62B6" w:rsidRPr="001A62B6" w:rsidRDefault="001A62B6" w:rsidP="003A62B8">
      <w:p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b/>
          <w:bCs/>
          <w:iCs/>
          <w:sz w:val="24"/>
          <w:szCs w:val="24"/>
          <w:lang w:eastAsia="ro-RO"/>
        </w:rPr>
      </w:pPr>
      <w:r w:rsidRPr="001A62B6">
        <w:rPr>
          <w:rFonts w:eastAsia="Times New Roman" w:cstheme="minorHAnsi"/>
          <w:b/>
          <w:bCs/>
          <w:iCs/>
          <w:sz w:val="24"/>
          <w:szCs w:val="24"/>
          <w:lang w:eastAsia="ro-RO"/>
        </w:rPr>
        <w:t xml:space="preserve">Prioritate: </w:t>
      </w:r>
      <w:r w:rsidRPr="001A62B6">
        <w:rPr>
          <w:rFonts w:eastAsia="Times New Roman" w:cstheme="minorHAnsi"/>
          <w:iCs/>
          <w:sz w:val="24"/>
          <w:szCs w:val="24"/>
          <w:lang w:eastAsia="ro-RO"/>
        </w:rPr>
        <w:t>1. O regiune competitivă prin inovare, digitalizare și întreprinderi dinamice</w:t>
      </w:r>
    </w:p>
    <w:p w14:paraId="4E462E58" w14:textId="77777777" w:rsidR="001A62B6" w:rsidRPr="001A62B6" w:rsidRDefault="001A62B6" w:rsidP="003A62B8">
      <w:p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eastAsia="ro-RO"/>
        </w:rPr>
      </w:pPr>
      <w:r w:rsidRPr="001A62B6">
        <w:rPr>
          <w:rFonts w:eastAsia="Times New Roman" w:cstheme="minorHAnsi"/>
          <w:b/>
          <w:bCs/>
          <w:iCs/>
          <w:sz w:val="24"/>
          <w:szCs w:val="24"/>
          <w:lang w:eastAsia="ro-RO"/>
        </w:rPr>
        <w:t xml:space="preserve">Obiectiv de politică: </w:t>
      </w:r>
      <w:r w:rsidRPr="001A62B6">
        <w:rPr>
          <w:rFonts w:eastAsia="Times New Roman" w:cstheme="minorHAnsi"/>
          <w:iCs/>
          <w:sz w:val="24"/>
          <w:szCs w:val="24"/>
          <w:lang w:eastAsia="ro-RO"/>
        </w:rPr>
        <w:t xml:space="preserve">1. O </w:t>
      </w:r>
      <w:proofErr w:type="spellStart"/>
      <w:r w:rsidRPr="001A62B6">
        <w:rPr>
          <w:rFonts w:eastAsia="Times New Roman" w:cstheme="minorHAnsi"/>
          <w:iCs/>
          <w:sz w:val="24"/>
          <w:szCs w:val="24"/>
          <w:lang w:eastAsia="ro-RO"/>
        </w:rPr>
        <w:t>Europă</w:t>
      </w:r>
      <w:proofErr w:type="spellEnd"/>
      <w:r w:rsidRPr="001A62B6">
        <w:rPr>
          <w:rFonts w:eastAsia="Times New Roman" w:cstheme="minorHAnsi"/>
          <w:iCs/>
          <w:sz w:val="24"/>
          <w:szCs w:val="24"/>
          <w:lang w:eastAsia="ro-RO"/>
        </w:rPr>
        <w:t xml:space="preserve"> mai competitivă și mai inteligentă, prin promovarea unei transformări economice inovatoare și inteligente și a conectivității TIC regionale</w:t>
      </w:r>
    </w:p>
    <w:p w14:paraId="756CCC51" w14:textId="77777777" w:rsidR="001A62B6" w:rsidRPr="001A62B6" w:rsidRDefault="001A62B6" w:rsidP="003A62B8">
      <w:p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eastAsia="ro-RO"/>
        </w:rPr>
      </w:pPr>
      <w:r w:rsidRPr="001A62B6">
        <w:rPr>
          <w:rFonts w:eastAsia="Times New Roman" w:cstheme="minorHAnsi"/>
          <w:b/>
          <w:bCs/>
          <w:iCs/>
          <w:sz w:val="24"/>
          <w:szCs w:val="24"/>
          <w:lang w:eastAsia="ro-RO"/>
        </w:rPr>
        <w:t xml:space="preserve">Obiectiv specific: </w:t>
      </w:r>
      <w:r w:rsidRPr="001A62B6">
        <w:rPr>
          <w:rFonts w:eastAsia="Times New Roman" w:cstheme="minorHAnsi"/>
          <w:iCs/>
          <w:sz w:val="24"/>
          <w:szCs w:val="24"/>
          <w:lang w:eastAsia="ro-RO"/>
        </w:rPr>
        <w:t>1.3. Intensificarea creșterii sustenabile și creșterea competitivității IMM-urilor și crearea de locuri de muncă în cadrul IMM-urilor, inclusiv prin investiții productive (FEDR)</w:t>
      </w:r>
    </w:p>
    <w:p w14:paraId="69E74445" w14:textId="77777777" w:rsidR="001A62B6" w:rsidRPr="001A62B6" w:rsidRDefault="001A62B6" w:rsidP="003A62B8">
      <w:pPr>
        <w:tabs>
          <w:tab w:val="left" w:pos="426"/>
        </w:tabs>
        <w:spacing w:after="0" w:line="240" w:lineRule="auto"/>
        <w:contextualSpacing/>
        <w:jc w:val="both"/>
        <w:rPr>
          <w:rFonts w:eastAsia="Times New Roman" w:cstheme="minorHAnsi"/>
          <w:iCs/>
          <w:sz w:val="24"/>
          <w:szCs w:val="24"/>
          <w:lang w:eastAsia="ro-RO"/>
        </w:rPr>
      </w:pPr>
      <w:r w:rsidRPr="001A62B6">
        <w:rPr>
          <w:rFonts w:eastAsia="Times New Roman" w:cstheme="minorHAnsi"/>
          <w:b/>
          <w:bCs/>
          <w:iCs/>
          <w:sz w:val="24"/>
          <w:szCs w:val="24"/>
          <w:lang w:eastAsia="ro-RO"/>
        </w:rPr>
        <w:t xml:space="preserve">Acțiunea: </w:t>
      </w:r>
      <w:r w:rsidRPr="001A62B6">
        <w:rPr>
          <w:rFonts w:eastAsia="Times New Roman" w:cstheme="minorHAnsi"/>
          <w:iCs/>
          <w:sz w:val="24"/>
          <w:szCs w:val="24"/>
          <w:lang w:eastAsia="ro-RO"/>
        </w:rPr>
        <w:t>1.8. Sprijin pentru creșterea durabilă și modernizarea tehnologică a microîntreprinderilor.</w:t>
      </w:r>
    </w:p>
    <w:p w14:paraId="099CBA6F" w14:textId="77777777" w:rsidR="00CE3EFE" w:rsidRPr="003D6F28" w:rsidRDefault="00CE3EFE" w:rsidP="00CE3EFE">
      <w:pPr>
        <w:tabs>
          <w:tab w:val="left" w:pos="426"/>
        </w:tabs>
        <w:spacing w:after="0" w:line="240" w:lineRule="auto"/>
        <w:contextualSpacing/>
        <w:rPr>
          <w:rFonts w:eastAsia="Times New Roman" w:cstheme="minorHAnsi"/>
          <w:b/>
          <w:bCs/>
          <w:sz w:val="24"/>
          <w:szCs w:val="24"/>
          <w:lang w:eastAsia="ro-RO"/>
        </w:rPr>
      </w:pPr>
    </w:p>
    <w:p w14:paraId="4ABB4FEA" w14:textId="3FB47BA3" w:rsidR="007A4541" w:rsidRPr="003D6F28" w:rsidRDefault="001A62B6" w:rsidP="00BA434E">
      <w:pPr>
        <w:tabs>
          <w:tab w:val="left" w:pos="426"/>
        </w:tabs>
        <w:spacing w:after="0" w:line="240" w:lineRule="auto"/>
        <w:contextualSpacing/>
        <w:jc w:val="center"/>
        <w:rPr>
          <w:rFonts w:eastAsia="Times New Roman" w:cstheme="minorHAnsi"/>
          <w:b/>
          <w:bCs/>
          <w:sz w:val="24"/>
          <w:szCs w:val="24"/>
          <w:lang w:eastAsia="ro-RO"/>
        </w:rPr>
      </w:pPr>
      <w:r>
        <w:rPr>
          <w:rFonts w:eastAsia="Times New Roman" w:cstheme="minorHAnsi"/>
          <w:b/>
          <w:bCs/>
          <w:sz w:val="24"/>
          <w:szCs w:val="24"/>
          <w:lang w:eastAsia="ro-RO"/>
        </w:rPr>
        <w:t>Anexa</w:t>
      </w:r>
      <w:r w:rsidR="006F5E5D" w:rsidRPr="003D6F28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11</w:t>
      </w:r>
      <w:r>
        <w:rPr>
          <w:rFonts w:eastAsia="Times New Roman" w:cstheme="minorHAnsi"/>
          <w:b/>
          <w:bCs/>
          <w:sz w:val="24"/>
          <w:szCs w:val="24"/>
          <w:lang w:eastAsia="ro-RO"/>
        </w:rPr>
        <w:t>.</w:t>
      </w:r>
      <w:r w:rsidR="00CE3EFE" w:rsidRPr="003D6F28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</w:t>
      </w:r>
      <w:r w:rsidR="00B76C36" w:rsidRPr="003D6F28">
        <w:rPr>
          <w:rFonts w:eastAsia="Times New Roman" w:cstheme="minorHAnsi"/>
          <w:b/>
          <w:bCs/>
          <w:sz w:val="24"/>
          <w:szCs w:val="24"/>
          <w:lang w:eastAsia="ro-RO"/>
        </w:rPr>
        <w:t>Grila DNSH</w:t>
      </w:r>
      <w:r w:rsidR="0073745D" w:rsidRPr="003D6F28">
        <w:rPr>
          <w:rFonts w:eastAsia="Times New Roman" w:cstheme="minorHAnsi"/>
          <w:b/>
          <w:bCs/>
          <w:sz w:val="24"/>
          <w:szCs w:val="24"/>
          <w:lang w:eastAsia="ro-RO"/>
        </w:rPr>
        <w:t xml:space="preserve"> Prioritatea </w:t>
      </w:r>
      <w:r w:rsidR="00584D0B" w:rsidRPr="003D6F28">
        <w:rPr>
          <w:rFonts w:eastAsia="Times New Roman" w:cstheme="minorHAnsi"/>
          <w:b/>
          <w:bCs/>
          <w:sz w:val="24"/>
          <w:szCs w:val="24"/>
          <w:lang w:eastAsia="ro-RO"/>
        </w:rPr>
        <w:t>1</w:t>
      </w:r>
      <w:r w:rsidR="0073745D" w:rsidRPr="003D6F28">
        <w:rPr>
          <w:rFonts w:eastAsia="Times New Roman" w:cstheme="minorHAnsi"/>
          <w:b/>
          <w:bCs/>
          <w:sz w:val="24"/>
          <w:szCs w:val="24"/>
          <w:lang w:eastAsia="ro-RO"/>
        </w:rPr>
        <w:t>/</w:t>
      </w:r>
      <w:r w:rsidR="00584D0B" w:rsidRPr="003D6F28">
        <w:rPr>
          <w:rFonts w:eastAsia="Times New Roman" w:cstheme="minorHAnsi"/>
          <w:b/>
          <w:bCs/>
          <w:sz w:val="24"/>
          <w:szCs w:val="24"/>
          <w:lang w:eastAsia="ro-RO"/>
        </w:rPr>
        <w:t>1.8</w:t>
      </w:r>
    </w:p>
    <w:p w14:paraId="74687F36" w14:textId="77777777" w:rsidR="006A1E62" w:rsidRPr="003D6F28" w:rsidRDefault="006A1E62" w:rsidP="006F5E5D">
      <w:pPr>
        <w:tabs>
          <w:tab w:val="left" w:pos="426"/>
        </w:tabs>
        <w:spacing w:after="0" w:line="240" w:lineRule="auto"/>
        <w:contextualSpacing/>
        <w:rPr>
          <w:rFonts w:eastAsia="Times New Roman" w:cstheme="minorHAnsi"/>
          <w:lang w:eastAsia="ro-RO"/>
        </w:rPr>
      </w:pPr>
    </w:p>
    <w:tbl>
      <w:tblPr>
        <w:tblW w:w="14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890"/>
        <w:gridCol w:w="6395"/>
        <w:gridCol w:w="1715"/>
        <w:gridCol w:w="5387"/>
      </w:tblGrid>
      <w:tr w:rsidR="008C439A" w:rsidRPr="003D6F28" w14:paraId="08E40046" w14:textId="3DD1A91C" w:rsidTr="00CE3EFE">
        <w:trPr>
          <w:trHeight w:val="1030"/>
          <w:tblHeader/>
        </w:trPr>
        <w:tc>
          <w:tcPr>
            <w:tcW w:w="498" w:type="dxa"/>
            <w:shd w:val="clear" w:color="auto" w:fill="D9E2F3" w:themeFill="accent1" w:themeFillTint="33"/>
            <w:noWrap/>
            <w:vAlign w:val="center"/>
            <w:hideMark/>
          </w:tcPr>
          <w:p w14:paraId="6344E519" w14:textId="72C60A80" w:rsidR="008C439A" w:rsidRPr="003D6F28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3D6F28">
              <w:rPr>
                <w:rFonts w:eastAsia="Calibri" w:cstheme="minorHAnsi"/>
                <w:b/>
                <w:bCs/>
              </w:rPr>
              <w:t>Nr. crt</w:t>
            </w:r>
            <w:r w:rsidR="00CE3EFE" w:rsidRPr="003D6F28">
              <w:rPr>
                <w:rFonts w:eastAsia="Calibri" w:cstheme="minorHAnsi"/>
                <w:b/>
                <w:bCs/>
              </w:rPr>
              <w:t>.</w:t>
            </w:r>
          </w:p>
        </w:tc>
        <w:tc>
          <w:tcPr>
            <w:tcW w:w="890" w:type="dxa"/>
            <w:shd w:val="clear" w:color="auto" w:fill="D9E2F3" w:themeFill="accent1" w:themeFillTint="33"/>
            <w:vAlign w:val="center"/>
            <w:hideMark/>
          </w:tcPr>
          <w:p w14:paraId="10FE6841" w14:textId="77777777" w:rsidR="008C439A" w:rsidRPr="003D6F28" w:rsidRDefault="008C439A" w:rsidP="00E03378">
            <w:pPr>
              <w:spacing w:after="0" w:line="240" w:lineRule="auto"/>
              <w:ind w:left="-85" w:right="-85"/>
              <w:jc w:val="center"/>
              <w:rPr>
                <w:rFonts w:eastAsia="Calibri" w:cstheme="minorHAnsi"/>
                <w:b/>
                <w:bCs/>
              </w:rPr>
            </w:pPr>
            <w:r w:rsidRPr="003D6F28">
              <w:rPr>
                <w:rFonts w:eastAsia="Calibri" w:cstheme="minorHAnsi"/>
                <w:b/>
                <w:bCs/>
              </w:rPr>
              <w:t>Obiectiv de mediu</w:t>
            </w:r>
          </w:p>
        </w:tc>
        <w:tc>
          <w:tcPr>
            <w:tcW w:w="6395" w:type="dxa"/>
            <w:shd w:val="clear" w:color="auto" w:fill="D9E2F3" w:themeFill="accent1" w:themeFillTint="33"/>
            <w:vAlign w:val="center"/>
          </w:tcPr>
          <w:p w14:paraId="1A0DC499" w14:textId="77777777" w:rsidR="008C439A" w:rsidRPr="003D6F28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3D6F28">
              <w:rPr>
                <w:rFonts w:eastAsia="Times New Roman" w:cstheme="minorHAnsi"/>
                <w:b/>
                <w:bCs/>
                <w:lang w:eastAsia="ro-RO"/>
              </w:rPr>
              <w:t xml:space="preserve">Măsuri minime obligatorii </w:t>
            </w:r>
          </w:p>
          <w:p w14:paraId="5540D8BF" w14:textId="501473D6" w:rsidR="008C439A" w:rsidRPr="003D6F28" w:rsidRDefault="00CE3EFE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3D6F28">
              <w:rPr>
                <w:rFonts w:eastAsia="Times New Roman" w:cstheme="minorHAnsi"/>
                <w:b/>
                <w:bCs/>
                <w:lang w:eastAsia="ro-RO"/>
              </w:rPr>
              <w:t>prevăzute</w:t>
            </w:r>
            <w:r w:rsidR="008C439A" w:rsidRPr="003D6F28">
              <w:rPr>
                <w:rFonts w:eastAsia="Times New Roman" w:cstheme="minorHAnsi"/>
                <w:b/>
                <w:bCs/>
                <w:lang w:eastAsia="ro-RO"/>
              </w:rPr>
              <w:t xml:space="preserve"> </w:t>
            </w:r>
            <w:r w:rsidRPr="003D6F28">
              <w:rPr>
                <w:rFonts w:eastAsia="Times New Roman" w:cstheme="minorHAnsi"/>
                <w:b/>
                <w:bCs/>
                <w:lang w:eastAsia="ro-RO"/>
              </w:rPr>
              <w:t>î</w:t>
            </w:r>
            <w:r w:rsidR="008C439A" w:rsidRPr="003D6F28">
              <w:rPr>
                <w:rFonts w:eastAsia="Times New Roman" w:cstheme="minorHAnsi"/>
                <w:b/>
                <w:bCs/>
                <w:lang w:eastAsia="ro-RO"/>
              </w:rPr>
              <w:t xml:space="preserve">n </w:t>
            </w:r>
            <w:r w:rsidR="008C439A" w:rsidRPr="003D6F28">
              <w:rPr>
                <w:rFonts w:eastAsia="Calibri" w:cstheme="minorHAnsi"/>
                <w:b/>
                <w:bCs/>
              </w:rPr>
              <w:t>DALI/SF/PT/ Doc</w:t>
            </w:r>
            <w:r w:rsidR="007D09C4" w:rsidRPr="003D6F28">
              <w:rPr>
                <w:rFonts w:eastAsia="Calibri" w:cstheme="minorHAnsi"/>
                <w:b/>
                <w:bCs/>
              </w:rPr>
              <w:t>ument</w:t>
            </w:r>
            <w:r w:rsidR="008C439A" w:rsidRPr="003D6F28">
              <w:rPr>
                <w:rFonts w:eastAsia="Calibri" w:cstheme="minorHAnsi"/>
                <w:b/>
                <w:bCs/>
              </w:rPr>
              <w:t xml:space="preserve"> suplimentar</w:t>
            </w:r>
            <w:r w:rsidR="007D09C4" w:rsidRPr="003D6F28">
              <w:rPr>
                <w:rFonts w:eastAsia="Calibri" w:cstheme="minorHAnsi"/>
                <w:b/>
                <w:bCs/>
              </w:rPr>
              <w:t xml:space="preserve">/cererea de </w:t>
            </w:r>
            <w:r w:rsidRPr="003D6F28">
              <w:rPr>
                <w:rFonts w:eastAsia="Calibri" w:cstheme="minorHAnsi"/>
                <w:b/>
                <w:bCs/>
              </w:rPr>
              <w:t>finanțare</w:t>
            </w:r>
          </w:p>
        </w:tc>
        <w:tc>
          <w:tcPr>
            <w:tcW w:w="1715" w:type="dxa"/>
            <w:shd w:val="clear" w:color="auto" w:fill="D9E2F3" w:themeFill="accent1" w:themeFillTint="33"/>
            <w:vAlign w:val="center"/>
          </w:tcPr>
          <w:p w14:paraId="30609AB9" w14:textId="5856A8ED" w:rsidR="008C439A" w:rsidRPr="003D6F28" w:rsidRDefault="008C439A" w:rsidP="00E03378">
            <w:pPr>
              <w:spacing w:after="0" w:line="240" w:lineRule="auto"/>
              <w:ind w:left="-57" w:right="-57"/>
              <w:jc w:val="center"/>
              <w:rPr>
                <w:rFonts w:eastAsia="Calibri" w:cstheme="minorHAnsi"/>
                <w:b/>
                <w:bCs/>
              </w:rPr>
            </w:pPr>
            <w:r w:rsidRPr="003D6F28">
              <w:rPr>
                <w:rFonts w:eastAsia="Calibri" w:cstheme="minorHAnsi"/>
                <w:b/>
                <w:bCs/>
              </w:rPr>
              <w:t>Rezultat</w:t>
            </w:r>
            <w:r w:rsidRPr="003D6F28">
              <w:rPr>
                <w:rFonts w:eastAsia="Calibri" w:cstheme="minorHAnsi"/>
                <w:b/>
                <w:bCs/>
              </w:rPr>
              <w:br/>
              <w:t xml:space="preserve"> (Da/</w:t>
            </w:r>
            <w:r w:rsidR="00CE3EFE" w:rsidRPr="003D6F28">
              <w:rPr>
                <w:rFonts w:eastAsia="Calibri" w:cstheme="minorHAnsi"/>
                <w:b/>
                <w:bCs/>
              </w:rPr>
              <w:t xml:space="preserve"> </w:t>
            </w:r>
            <w:r w:rsidRPr="003D6F28">
              <w:rPr>
                <w:rFonts w:eastAsia="Calibri" w:cstheme="minorHAnsi"/>
                <w:b/>
                <w:bCs/>
              </w:rPr>
              <w:t>Nu/ N/A)</w:t>
            </w:r>
          </w:p>
        </w:tc>
        <w:tc>
          <w:tcPr>
            <w:tcW w:w="5387" w:type="dxa"/>
            <w:shd w:val="clear" w:color="auto" w:fill="D9E2F3" w:themeFill="accent1" w:themeFillTint="33"/>
            <w:vAlign w:val="center"/>
          </w:tcPr>
          <w:p w14:paraId="2F517176" w14:textId="6BB34B25" w:rsidR="008C439A" w:rsidRPr="003D6F28" w:rsidRDefault="00CE3EFE" w:rsidP="00E03378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b/>
                <w:bCs/>
                <w:lang w:eastAsia="ro-RO"/>
              </w:rPr>
            </w:pPr>
            <w:r w:rsidRPr="003D6F28">
              <w:rPr>
                <w:rFonts w:eastAsia="Calibri" w:cstheme="minorHAnsi"/>
                <w:b/>
                <w:bCs/>
              </w:rPr>
              <w:t>Observații</w:t>
            </w:r>
          </w:p>
        </w:tc>
      </w:tr>
      <w:tr w:rsidR="002A5DDB" w:rsidRPr="003D6F28" w14:paraId="1C4642D8" w14:textId="627A90FC" w:rsidTr="00584D0B">
        <w:trPr>
          <w:trHeight w:val="2406"/>
        </w:trPr>
        <w:tc>
          <w:tcPr>
            <w:tcW w:w="498" w:type="dxa"/>
            <w:shd w:val="clear" w:color="auto" w:fill="auto"/>
            <w:noWrap/>
            <w:vAlign w:val="center"/>
            <w:hideMark/>
          </w:tcPr>
          <w:p w14:paraId="2E2E9701" w14:textId="77777777" w:rsidR="002A5DDB" w:rsidRPr="003D6F28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1</w:t>
            </w:r>
          </w:p>
          <w:p w14:paraId="2DEB310F" w14:textId="26C8DAAF" w:rsidR="002A5DDB" w:rsidRPr="003D6F28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8BDED03" w14:textId="77777777" w:rsidR="002A5DDB" w:rsidRPr="003D6F28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 1</w:t>
            </w:r>
          </w:p>
          <w:p w14:paraId="683E0ECF" w14:textId="77777777" w:rsidR="002A5DDB" w:rsidRPr="003D6F28" w:rsidRDefault="002A5DDB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Align w:val="center"/>
          </w:tcPr>
          <w:p w14:paraId="402DA261" w14:textId="77777777" w:rsidR="00584D0B" w:rsidRPr="003D6F28" w:rsidRDefault="00584D0B" w:rsidP="006F5E5D">
            <w:pPr>
              <w:pStyle w:val="Listparagraf"/>
              <w:numPr>
                <w:ilvl w:val="0"/>
                <w:numId w:val="14"/>
              </w:numPr>
              <w:tabs>
                <w:tab w:val="left" w:pos="350"/>
              </w:tabs>
              <w:spacing w:after="0" w:line="240" w:lineRule="auto"/>
              <w:ind w:left="0" w:firstLine="0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Utilizarea de materiale izolante cu eficiență energetică ridicată care reduc consumul de energie necesar pentru încălzirea / răcirea clădirii și implicit, emisiile de gaze cu efect de seră;</w:t>
            </w:r>
          </w:p>
          <w:p w14:paraId="1B890CB3" w14:textId="536E0E76" w:rsidR="002A5DDB" w:rsidRPr="003D6F28" w:rsidRDefault="00584D0B" w:rsidP="006F5E5D">
            <w:pPr>
              <w:pStyle w:val="Listparagraf"/>
              <w:numPr>
                <w:ilvl w:val="0"/>
                <w:numId w:val="14"/>
              </w:numPr>
              <w:tabs>
                <w:tab w:val="left" w:pos="350"/>
              </w:tabs>
              <w:spacing w:after="0" w:line="240" w:lineRule="auto"/>
              <w:ind w:left="0" w:firstLine="0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Echipamentele tehnice specifice achizi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ț</w:t>
            </w:r>
            <w:r w:rsidRPr="003D6F28">
              <w:rPr>
                <w:rFonts w:eastAsia="Times New Roman" w:cstheme="minorHAnsi"/>
                <w:lang w:eastAsia="ro-RO"/>
              </w:rPr>
              <w:t xml:space="preserve">ionate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>ndeplinesc cerin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ț</w:t>
            </w:r>
            <w:r w:rsidRPr="003D6F28">
              <w:rPr>
                <w:rFonts w:eastAsia="Times New Roman" w:cstheme="minorHAnsi"/>
                <w:lang w:eastAsia="ro-RO"/>
              </w:rPr>
              <w:t xml:space="preserve">ele legate de energie stabilite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>n conformitate cu Directiva 2009/125/CE pentru produsele cu impact energetic, inclusiv servere și stocare de date sau computere și servere de calculatoare sau afișaje electronice.</w:t>
            </w:r>
          </w:p>
        </w:tc>
        <w:tc>
          <w:tcPr>
            <w:tcW w:w="1715" w:type="dxa"/>
            <w:vAlign w:val="center"/>
          </w:tcPr>
          <w:p w14:paraId="2A1E267B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3D1936D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70495268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2C131531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4AE4EA47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5642DE4B" w14:textId="77777777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  <w:p w14:paraId="1ED7DD03" w14:textId="4AFC9091" w:rsidR="002A5DDB" w:rsidRPr="003D6F28" w:rsidRDefault="002A5DDB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1318FA94" w14:textId="1656F851" w:rsidR="002A5DDB" w:rsidRPr="003D6F28" w:rsidRDefault="002A5DDB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E53D92" w:rsidRPr="003D6F28" w14:paraId="2B20225B" w14:textId="77777777" w:rsidTr="00CE3EFE">
        <w:trPr>
          <w:trHeight w:val="3029"/>
        </w:trPr>
        <w:tc>
          <w:tcPr>
            <w:tcW w:w="498" w:type="dxa"/>
            <w:shd w:val="clear" w:color="auto" w:fill="auto"/>
            <w:noWrap/>
            <w:vAlign w:val="center"/>
          </w:tcPr>
          <w:p w14:paraId="7385C417" w14:textId="0AD2C7B1" w:rsidR="00E53D92" w:rsidRPr="003D6F28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lastRenderedPageBreak/>
              <w:t>2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DC09C5D" w14:textId="69218290" w:rsidR="00E53D92" w:rsidRPr="003D6F28" w:rsidRDefault="00E53D92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 2</w:t>
            </w:r>
          </w:p>
        </w:tc>
        <w:tc>
          <w:tcPr>
            <w:tcW w:w="6395" w:type="dxa"/>
            <w:vAlign w:val="center"/>
          </w:tcPr>
          <w:p w14:paraId="15048975" w14:textId="6AE46DBE" w:rsidR="00584D0B" w:rsidRPr="003D6F28" w:rsidRDefault="00584D0B" w:rsidP="00584D0B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Sunt specificate măsuri adecvate (pentru riscurile identificate) în conformitate cu rezultatele studiului de Imunizare la schimbări climatice (Pilonul II Adaptarea la schimbările climatice).</w:t>
            </w:r>
          </w:p>
          <w:p w14:paraId="113B9F4A" w14:textId="4ED321A2" w:rsidR="00E53D92" w:rsidRPr="003D6F28" w:rsidRDefault="00584D0B" w:rsidP="00584D0B">
            <w:pPr>
              <w:pStyle w:val="Listparagraf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 xml:space="preserve">Hazardurile climatice care vor fi luate în calcul: temperaturi extreme / valuri de căldură (materiale adecvate pentru izolarea termică, vopseluri și culoare pereți și acoperiș, soluții verzi etc.); ploi abundente (dimensionarea sistemelor de canalizare, a sistemelor de colectare </w:t>
            </w:r>
            <w:r w:rsidR="00574043" w:rsidRPr="003D6F28">
              <w:rPr>
                <w:rFonts w:eastAsia="Times New Roman" w:cstheme="minorHAnsi"/>
                <w:lang w:eastAsia="ro-RO"/>
              </w:rPr>
              <w:t>și</w:t>
            </w:r>
            <w:r w:rsidRPr="003D6F28">
              <w:rPr>
                <w:rFonts w:eastAsia="Times New Roman" w:cstheme="minorHAnsi"/>
                <w:lang w:eastAsia="ro-RO"/>
              </w:rPr>
              <w:t xml:space="preserve"> scurgere a apelor pluviale); inundații pluviale, fluviale (impermeabilizare, utilizare materiale hidrofuge elastice etc.); furtuni; vânt în rafale (orientare aerodinamică optimă, materiale rezistente etc.).</w:t>
            </w:r>
          </w:p>
        </w:tc>
        <w:tc>
          <w:tcPr>
            <w:tcW w:w="1715" w:type="dxa"/>
            <w:vAlign w:val="center"/>
          </w:tcPr>
          <w:p w14:paraId="375A84F8" w14:textId="77777777" w:rsidR="00E53D92" w:rsidRPr="003D6F28" w:rsidRDefault="00E53D92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26ABE295" w14:textId="77777777" w:rsidR="00E53D92" w:rsidRPr="003D6F28" w:rsidRDefault="00E53D92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7D09C4" w:rsidRPr="003D6F28" w14:paraId="59BBA08F" w14:textId="77777777" w:rsidTr="00CE3EFE">
        <w:trPr>
          <w:trHeight w:val="857"/>
        </w:trPr>
        <w:tc>
          <w:tcPr>
            <w:tcW w:w="498" w:type="dxa"/>
            <w:shd w:val="clear" w:color="auto" w:fill="auto"/>
            <w:noWrap/>
            <w:vAlign w:val="center"/>
          </w:tcPr>
          <w:p w14:paraId="237C9A62" w14:textId="0E0B6578" w:rsidR="007D09C4" w:rsidRPr="003D6F28" w:rsidRDefault="007D09C4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3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7E3B64A9" w14:textId="4F9859DD" w:rsidR="007D09C4" w:rsidRPr="003D6F28" w:rsidRDefault="007D09C4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OM3</w:t>
            </w:r>
          </w:p>
        </w:tc>
        <w:tc>
          <w:tcPr>
            <w:tcW w:w="6395" w:type="dxa"/>
            <w:vAlign w:val="center"/>
          </w:tcPr>
          <w:p w14:paraId="4791970A" w14:textId="26871149" w:rsidR="007D09C4" w:rsidRPr="003D6F28" w:rsidRDefault="00584D0B" w:rsidP="00584D0B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N/A</w:t>
            </w:r>
          </w:p>
        </w:tc>
        <w:tc>
          <w:tcPr>
            <w:tcW w:w="1715" w:type="dxa"/>
            <w:vAlign w:val="center"/>
          </w:tcPr>
          <w:p w14:paraId="375C26FC" w14:textId="77777777" w:rsidR="007D09C4" w:rsidRPr="003D6F28" w:rsidRDefault="007D09C4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65506EE8" w14:textId="77777777" w:rsidR="007D09C4" w:rsidRPr="003D6F28" w:rsidRDefault="007D09C4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F31947" w:rsidRPr="003D6F28" w14:paraId="4DC61432" w14:textId="77777777" w:rsidTr="00CE3EFE">
        <w:trPr>
          <w:trHeight w:val="1278"/>
        </w:trPr>
        <w:tc>
          <w:tcPr>
            <w:tcW w:w="498" w:type="dxa"/>
            <w:shd w:val="clear" w:color="auto" w:fill="auto"/>
            <w:noWrap/>
            <w:vAlign w:val="center"/>
          </w:tcPr>
          <w:p w14:paraId="27B25945" w14:textId="41AC46A8" w:rsidR="00F31947" w:rsidRPr="003D6F28" w:rsidRDefault="00C366B4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4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6F8FA1F6" w14:textId="77777777" w:rsidR="00F31947" w:rsidRPr="003D6F28" w:rsidRDefault="00F31947" w:rsidP="00F31947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 4</w:t>
            </w:r>
          </w:p>
          <w:p w14:paraId="00176DDC" w14:textId="77777777" w:rsidR="00F31947" w:rsidRPr="003D6F28" w:rsidRDefault="00F31947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Align w:val="center"/>
          </w:tcPr>
          <w:p w14:paraId="32D8A024" w14:textId="5E99A90C" w:rsidR="00584D0B" w:rsidRPr="003D6F28" w:rsidRDefault="00574043" w:rsidP="006F5E5D">
            <w:pPr>
              <w:pStyle w:val="Listparagraf"/>
              <w:numPr>
                <w:ilvl w:val="0"/>
                <w:numId w:val="17"/>
              </w:numPr>
              <w:tabs>
                <w:tab w:val="left" w:pos="208"/>
              </w:tabs>
              <w:spacing w:after="0" w:line="240" w:lineRule="auto"/>
              <w:ind w:left="-75" w:firstLine="75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Deșeurile</w:t>
            </w:r>
            <w:r w:rsidR="00584D0B" w:rsidRPr="003D6F28">
              <w:rPr>
                <w:rFonts w:eastAsia="Times New Roman" w:cstheme="minorHAnsi"/>
                <w:lang w:eastAsia="ro-RO"/>
              </w:rPr>
              <w:t xml:space="preserve"> generate în urma proiectelor de </w:t>
            </w:r>
            <w:r w:rsidRPr="003D6F28">
              <w:rPr>
                <w:rFonts w:eastAsia="Times New Roman" w:cstheme="minorHAnsi"/>
                <w:lang w:eastAsia="ro-RO"/>
              </w:rPr>
              <w:t>investiții</w:t>
            </w:r>
            <w:r w:rsidR="00584D0B" w:rsidRPr="003D6F28">
              <w:rPr>
                <w:rFonts w:eastAsia="Times New Roman" w:cstheme="minorHAnsi"/>
                <w:lang w:eastAsia="ro-RO"/>
              </w:rPr>
              <w:t xml:space="preserve">, în toate etapele acestuia, vor fi depozitate temporar doar pe </w:t>
            </w:r>
            <w:r w:rsidRPr="003D6F28">
              <w:rPr>
                <w:rFonts w:eastAsia="Times New Roman" w:cstheme="minorHAnsi"/>
                <w:lang w:eastAsia="ro-RO"/>
              </w:rPr>
              <w:t>suprafețe</w:t>
            </w:r>
            <w:r w:rsidR="00584D0B" w:rsidRPr="003D6F28">
              <w:rPr>
                <w:rFonts w:eastAsia="Times New Roman" w:cstheme="minorHAnsi"/>
                <w:lang w:eastAsia="ro-RO"/>
              </w:rPr>
              <w:t xml:space="preserve"> special amenajate în acest sens;</w:t>
            </w:r>
          </w:p>
          <w:p w14:paraId="7BD9B1C7" w14:textId="12120042" w:rsidR="00F31947" w:rsidRPr="003D6F28" w:rsidRDefault="00584D0B" w:rsidP="006F5E5D">
            <w:pPr>
              <w:pStyle w:val="Listparagraf"/>
              <w:numPr>
                <w:ilvl w:val="0"/>
                <w:numId w:val="17"/>
              </w:numPr>
              <w:tabs>
                <w:tab w:val="left" w:pos="208"/>
              </w:tabs>
              <w:spacing w:after="0" w:line="240" w:lineRule="auto"/>
              <w:ind w:left="66" w:hanging="66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 xml:space="preserve">Documente justificative privind trasabilitatea </w:t>
            </w:r>
            <w:r w:rsidR="00574043" w:rsidRPr="003D6F28">
              <w:rPr>
                <w:rFonts w:eastAsia="Times New Roman" w:cstheme="minorHAnsi"/>
                <w:lang w:eastAsia="ro-RO"/>
              </w:rPr>
              <w:t>de</w:t>
            </w:r>
            <w:r w:rsidR="00574043" w:rsidRPr="003D6F28">
              <w:rPr>
                <w:rFonts w:ascii="Calibri" w:eastAsia="Times New Roman" w:hAnsi="Calibri" w:cs="Calibri"/>
                <w:lang w:eastAsia="ro-RO"/>
              </w:rPr>
              <w:t>ș</w:t>
            </w:r>
            <w:r w:rsidR="00574043" w:rsidRPr="003D6F28">
              <w:rPr>
                <w:rFonts w:eastAsia="Times New Roman" w:cstheme="minorHAnsi"/>
                <w:lang w:eastAsia="ro-RO"/>
              </w:rPr>
              <w:t>eurilor</w:t>
            </w:r>
            <w:r w:rsidRPr="003D6F28">
              <w:rPr>
                <w:rFonts w:eastAsia="Times New Roman" w:cstheme="minorHAnsi"/>
                <w:lang w:eastAsia="ro-RO"/>
              </w:rPr>
              <w:t xml:space="preserve"> (predarea lor c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</w:t>
            </w:r>
            <w:r w:rsidRPr="003D6F28">
              <w:rPr>
                <w:rFonts w:eastAsia="Times New Roman" w:cstheme="minorHAnsi"/>
                <w:lang w:eastAsia="ro-RO"/>
              </w:rPr>
              <w:t>tre entit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ăț</w:t>
            </w:r>
            <w:r w:rsidRPr="003D6F28">
              <w:rPr>
                <w:rFonts w:eastAsia="Times New Roman" w:cstheme="minorHAnsi"/>
                <w:lang w:eastAsia="ro-RO"/>
              </w:rPr>
              <w:t>i abilitate conform legii s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</w:t>
            </w:r>
            <w:r w:rsidRPr="003D6F28">
              <w:rPr>
                <w:rFonts w:eastAsia="Times New Roman" w:cstheme="minorHAnsi"/>
                <w:lang w:eastAsia="ro-RO"/>
              </w:rPr>
              <w:t xml:space="preserve"> gestioneze diferite tipuri de </w:t>
            </w:r>
            <w:r w:rsidR="00574043" w:rsidRPr="003D6F28">
              <w:rPr>
                <w:rFonts w:eastAsia="Times New Roman" w:cstheme="minorHAnsi"/>
                <w:lang w:eastAsia="ro-RO"/>
              </w:rPr>
              <w:t>de</w:t>
            </w:r>
            <w:r w:rsidR="00574043" w:rsidRPr="003D6F28">
              <w:rPr>
                <w:rFonts w:ascii="Calibri" w:eastAsia="Times New Roman" w:hAnsi="Calibri" w:cs="Calibri"/>
                <w:lang w:eastAsia="ro-RO"/>
              </w:rPr>
              <w:t>ș</w:t>
            </w:r>
            <w:r w:rsidR="00574043" w:rsidRPr="003D6F28">
              <w:rPr>
                <w:rFonts w:eastAsia="Times New Roman" w:cstheme="minorHAnsi"/>
                <w:lang w:eastAsia="ro-RO"/>
              </w:rPr>
              <w:t>euri</w:t>
            </w:r>
            <w:r w:rsidRPr="003D6F28">
              <w:rPr>
                <w:rFonts w:eastAsia="Times New Roman" w:cstheme="minorHAnsi"/>
                <w:lang w:eastAsia="ro-RO"/>
              </w:rPr>
              <w:t xml:space="preserve">, inclusiv echipamente electrice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ș</w:t>
            </w:r>
            <w:r w:rsidRPr="003D6F28">
              <w:rPr>
                <w:rFonts w:eastAsia="Times New Roman" w:cstheme="minorHAnsi"/>
                <w:lang w:eastAsia="ro-RO"/>
              </w:rPr>
              <w:t xml:space="preserve">i electronice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 xml:space="preserve">n cazul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>n care sunt înlocuite echipamentele vechi);</w:t>
            </w:r>
          </w:p>
          <w:p w14:paraId="1DDE3078" w14:textId="228914B4" w:rsidR="00584D0B" w:rsidRPr="003D6F28" w:rsidRDefault="00584D0B" w:rsidP="006F5E5D">
            <w:pPr>
              <w:pStyle w:val="Listparagraf"/>
              <w:numPr>
                <w:ilvl w:val="0"/>
                <w:numId w:val="17"/>
              </w:numPr>
              <w:tabs>
                <w:tab w:val="left" w:pos="208"/>
              </w:tabs>
              <w:spacing w:after="0" w:line="240" w:lineRule="auto"/>
              <w:ind w:left="66" w:hanging="66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lastRenderedPageBreak/>
              <w:t>70% din deșeurile nepericuloase generate pe șantier din construcții și demolări (cu excepția materialelor naturale definite în categoria 17 05 04 - pământ și pietriș, altele decât cele vizate la rubrica 17 05 03 din lista europeană a deșeurilor stabilită prin Decizia 2000/532/CE a Comisiei, transpusă în HG nr. 856/2002, cu modificările și completările ulterioare) vor fi pregătite pentru reutilizare, reciclare și alte operațiuni de valorificare materială, inclusiv operațiuni de umplere care utilizează deșeuri pentru a înlocui alte materiale (dacă este cazul).</w:t>
            </w:r>
          </w:p>
        </w:tc>
        <w:tc>
          <w:tcPr>
            <w:tcW w:w="1715" w:type="dxa"/>
            <w:vAlign w:val="center"/>
          </w:tcPr>
          <w:p w14:paraId="6FF63120" w14:textId="77777777" w:rsidR="00F31947" w:rsidRPr="003D6F28" w:rsidRDefault="00F31947" w:rsidP="003B5AC2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52C795AE" w14:textId="77777777" w:rsidR="00F31947" w:rsidRPr="003D6F28" w:rsidRDefault="00F31947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3D6F28" w14:paraId="6544A9CC" w14:textId="44733A18" w:rsidTr="00CE3EFE">
        <w:trPr>
          <w:trHeight w:val="630"/>
        </w:trPr>
        <w:tc>
          <w:tcPr>
            <w:tcW w:w="498" w:type="dxa"/>
            <w:vMerge w:val="restart"/>
            <w:shd w:val="clear" w:color="auto" w:fill="auto"/>
            <w:noWrap/>
            <w:vAlign w:val="center"/>
          </w:tcPr>
          <w:p w14:paraId="23DF67B7" w14:textId="16F01F65" w:rsidR="008C439A" w:rsidRPr="003D6F28" w:rsidRDefault="00C366B4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5</w:t>
            </w:r>
          </w:p>
          <w:p w14:paraId="09C16B88" w14:textId="3C78AC3F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890" w:type="dxa"/>
            <w:vMerge w:val="restart"/>
            <w:shd w:val="clear" w:color="auto" w:fill="auto"/>
            <w:vAlign w:val="center"/>
          </w:tcPr>
          <w:p w14:paraId="1C9A47E3" w14:textId="77777777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 5</w:t>
            </w:r>
          </w:p>
          <w:p w14:paraId="2B657B7D" w14:textId="24F9CEED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 w:val="restart"/>
          </w:tcPr>
          <w:p w14:paraId="22677973" w14:textId="3900668E" w:rsidR="00584D0B" w:rsidRPr="003D6F28" w:rsidRDefault="00584D0B" w:rsidP="006F5E5D">
            <w:pPr>
              <w:pStyle w:val="Listparagraf"/>
              <w:numPr>
                <w:ilvl w:val="0"/>
                <w:numId w:val="18"/>
              </w:numPr>
              <w:tabs>
                <w:tab w:val="left" w:pos="208"/>
              </w:tabs>
              <w:spacing w:after="0" w:line="240" w:lineRule="auto"/>
              <w:ind w:left="66" w:right="-57" w:firstLine="0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Măsuri de reducere a zgomotului, a prafului și a emisiilor poluante în timpul lucrărilor (</w:t>
            </w:r>
            <w:r w:rsidR="00C918E7" w:rsidRPr="003D6F28">
              <w:rPr>
                <w:rFonts w:eastAsia="Times New Roman" w:cstheme="minorHAnsi"/>
                <w:lang w:eastAsia="ro-RO"/>
              </w:rPr>
              <w:t>protecția</w:t>
            </w:r>
            <w:r w:rsidRPr="003D6F28">
              <w:rPr>
                <w:rFonts w:eastAsia="Times New Roman" w:cstheme="minorHAnsi"/>
                <w:lang w:eastAsia="ro-RO"/>
              </w:rPr>
              <w:t xml:space="preserve"> zonelor critice cu bariere de zgomot, umezirea suprafețelor de lucru în caz de vânt puternic, utilizarea de utilaje cu nivel redus de emisii);</w:t>
            </w:r>
          </w:p>
          <w:p w14:paraId="76AAFFF9" w14:textId="542D46D0" w:rsidR="00584D0B" w:rsidRPr="003D6F28" w:rsidRDefault="00584D0B" w:rsidP="006F5E5D">
            <w:pPr>
              <w:pStyle w:val="Listparagraf"/>
              <w:numPr>
                <w:ilvl w:val="0"/>
                <w:numId w:val="18"/>
              </w:numPr>
              <w:tabs>
                <w:tab w:val="left" w:pos="66"/>
                <w:tab w:val="left" w:pos="208"/>
              </w:tabs>
              <w:spacing w:after="0" w:line="240" w:lineRule="auto"/>
              <w:ind w:left="66" w:right="-57" w:hanging="141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Utilizarea de materiale adecvate: materialele nu con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ț</w:t>
            </w:r>
            <w:r w:rsidRPr="003D6F28">
              <w:rPr>
                <w:rFonts w:eastAsia="Times New Roman" w:cstheme="minorHAnsi"/>
                <w:lang w:eastAsia="ro-RO"/>
              </w:rPr>
              <w:t xml:space="preserve">in azbest, nu sunt incluse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>n lista substan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ț</w:t>
            </w:r>
            <w:r w:rsidRPr="003D6F28">
              <w:rPr>
                <w:rFonts w:eastAsia="Times New Roman" w:cstheme="minorHAnsi"/>
                <w:lang w:eastAsia="ro-RO"/>
              </w:rPr>
              <w:t>elor supuse autoriz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</w:t>
            </w:r>
            <w:r w:rsidRPr="003D6F28">
              <w:rPr>
                <w:rFonts w:eastAsia="Times New Roman" w:cstheme="minorHAnsi"/>
                <w:lang w:eastAsia="ro-RO"/>
              </w:rPr>
              <w:t>rii prev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</w:t>
            </w:r>
            <w:r w:rsidRPr="003D6F28">
              <w:rPr>
                <w:rFonts w:eastAsia="Times New Roman" w:cstheme="minorHAnsi"/>
                <w:lang w:eastAsia="ro-RO"/>
              </w:rPr>
              <w:t xml:space="preserve">zute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 xml:space="preserve">n anexa XIV la Regulamentul (CE) nr. 1907/2006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ș</w:t>
            </w:r>
            <w:r w:rsidRPr="003D6F28">
              <w:rPr>
                <w:rFonts w:eastAsia="Times New Roman" w:cstheme="minorHAnsi"/>
                <w:lang w:eastAsia="ro-RO"/>
              </w:rPr>
              <w:t>i respect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ă</w:t>
            </w:r>
            <w:r w:rsidRPr="003D6F28">
              <w:rPr>
                <w:rFonts w:eastAsia="Times New Roman" w:cstheme="minorHAnsi"/>
                <w:lang w:eastAsia="ro-RO"/>
              </w:rPr>
              <w:t xml:space="preserve"> condi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ț</w:t>
            </w:r>
            <w:r w:rsidRPr="003D6F28">
              <w:rPr>
                <w:rFonts w:eastAsia="Times New Roman" w:cstheme="minorHAnsi"/>
                <w:lang w:eastAsia="ro-RO"/>
              </w:rPr>
              <w:t xml:space="preserve">iile specificate 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î</w:t>
            </w:r>
            <w:r w:rsidRPr="003D6F28">
              <w:rPr>
                <w:rFonts w:eastAsia="Times New Roman" w:cstheme="minorHAnsi"/>
                <w:lang w:eastAsia="ro-RO"/>
              </w:rPr>
              <w:t>n anexa XVII a aceluia</w:t>
            </w:r>
            <w:r w:rsidRPr="003D6F28">
              <w:rPr>
                <w:rFonts w:ascii="Calibri" w:eastAsia="Times New Roman" w:hAnsi="Calibri" w:cs="Calibri"/>
                <w:lang w:eastAsia="ro-RO"/>
              </w:rPr>
              <w:t>ș</w:t>
            </w:r>
            <w:r w:rsidRPr="003D6F28">
              <w:rPr>
                <w:rFonts w:eastAsia="Times New Roman" w:cstheme="minorHAnsi"/>
                <w:lang w:eastAsia="ro-RO"/>
              </w:rPr>
              <w:t>i regulament;</w:t>
            </w:r>
          </w:p>
          <w:p w14:paraId="69CD908B" w14:textId="41F23E01" w:rsidR="008C439A" w:rsidRPr="003D6F28" w:rsidRDefault="00584D0B" w:rsidP="006F5E5D">
            <w:pPr>
              <w:pStyle w:val="Listparagraf"/>
              <w:numPr>
                <w:ilvl w:val="0"/>
                <w:numId w:val="18"/>
              </w:numPr>
              <w:spacing w:after="0" w:line="240" w:lineRule="auto"/>
              <w:ind w:left="66" w:right="-57" w:hanging="141"/>
              <w:jc w:val="both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Refacerea amplasamentelor afectate de lucrări și organizări de șantier imediat după finalizarea lucrărilor de construcție.</w:t>
            </w:r>
          </w:p>
        </w:tc>
        <w:tc>
          <w:tcPr>
            <w:tcW w:w="1715" w:type="dxa"/>
            <w:vAlign w:val="center"/>
          </w:tcPr>
          <w:p w14:paraId="1B740F4D" w14:textId="77777777" w:rsidR="008C439A" w:rsidRPr="003D6F28" w:rsidRDefault="008C439A" w:rsidP="003B5AC2">
            <w:pPr>
              <w:pStyle w:val="Listparagraf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13888144" w14:textId="6F3F9231" w:rsidR="008C439A" w:rsidRPr="003D6F28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3D6F28" w14:paraId="17351446" w14:textId="76D3B94F" w:rsidTr="00CE3EFE">
        <w:trPr>
          <w:trHeight w:val="630"/>
        </w:trPr>
        <w:tc>
          <w:tcPr>
            <w:tcW w:w="498" w:type="dxa"/>
            <w:vMerge/>
            <w:shd w:val="clear" w:color="auto" w:fill="auto"/>
            <w:noWrap/>
            <w:vAlign w:val="center"/>
          </w:tcPr>
          <w:p w14:paraId="1632DB24" w14:textId="1D320B12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890" w:type="dxa"/>
            <w:vMerge/>
            <w:shd w:val="clear" w:color="auto" w:fill="auto"/>
            <w:vAlign w:val="center"/>
          </w:tcPr>
          <w:p w14:paraId="01B343CD" w14:textId="0724749C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6395" w:type="dxa"/>
            <w:vMerge/>
          </w:tcPr>
          <w:p w14:paraId="3DE283C4" w14:textId="138DBE5E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1715" w:type="dxa"/>
            <w:vAlign w:val="center"/>
          </w:tcPr>
          <w:p w14:paraId="59A2488E" w14:textId="77777777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337900F7" w14:textId="74D85783" w:rsidR="008C439A" w:rsidRPr="003D6F28" w:rsidRDefault="008C439A" w:rsidP="003B5AC2">
            <w:pPr>
              <w:spacing w:after="0" w:line="240" w:lineRule="auto"/>
              <w:ind w:right="-57"/>
              <w:rPr>
                <w:rFonts w:eastAsia="Times New Roman" w:cstheme="minorHAnsi"/>
                <w:lang w:eastAsia="ro-RO"/>
              </w:rPr>
            </w:pPr>
          </w:p>
        </w:tc>
      </w:tr>
      <w:tr w:rsidR="008C439A" w:rsidRPr="003D6F28" w14:paraId="41E28898" w14:textId="4426C18C" w:rsidTr="00D4616B">
        <w:trPr>
          <w:trHeight w:val="3745"/>
        </w:trPr>
        <w:tc>
          <w:tcPr>
            <w:tcW w:w="498" w:type="dxa"/>
            <w:shd w:val="clear" w:color="auto" w:fill="auto"/>
            <w:noWrap/>
            <w:vAlign w:val="center"/>
          </w:tcPr>
          <w:p w14:paraId="1F032C9F" w14:textId="7FE0DDFB" w:rsidR="008C439A" w:rsidRPr="003D6F28" w:rsidRDefault="00C366B4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lastRenderedPageBreak/>
              <w:t>6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9E70285" w14:textId="13D3D25B" w:rsidR="008C439A" w:rsidRPr="003D6F28" w:rsidRDefault="008C439A" w:rsidP="003B5AC2">
            <w:pPr>
              <w:spacing w:after="0" w:line="240" w:lineRule="auto"/>
              <w:ind w:left="-57" w:right="-57"/>
              <w:jc w:val="center"/>
              <w:rPr>
                <w:rFonts w:eastAsia="Times New Roman" w:cstheme="minorHAnsi"/>
                <w:lang w:eastAsia="ro-RO"/>
              </w:rPr>
            </w:pPr>
            <w:r w:rsidRPr="003D6F28">
              <w:rPr>
                <w:rFonts w:eastAsia="Times New Roman" w:cstheme="minorHAnsi"/>
                <w:lang w:eastAsia="ro-RO"/>
              </w:rPr>
              <w:t>OM 6</w:t>
            </w:r>
          </w:p>
        </w:tc>
        <w:tc>
          <w:tcPr>
            <w:tcW w:w="639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79"/>
            </w:tblGrid>
            <w:tr w:rsidR="00584D0B" w:rsidRPr="003D6F28" w14:paraId="48F3F4D3" w14:textId="77777777">
              <w:trPr>
                <w:trHeight w:val="1240"/>
              </w:trPr>
              <w:tc>
                <w:tcPr>
                  <w:tcW w:w="0" w:type="auto"/>
                </w:tcPr>
                <w:p w14:paraId="6AC4637C" w14:textId="1D6C5CD2" w:rsidR="00584D0B" w:rsidRPr="003D6F28" w:rsidRDefault="00584D0B" w:rsidP="00584D0B">
                  <w:pPr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b/>
                      <w:bCs/>
                      <w:lang w:eastAsia="ro-RO"/>
                    </w:rPr>
                    <w:t>Minim o măsură – conform SEA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: </w:t>
                  </w:r>
                </w:p>
                <w:p w14:paraId="0B2982E3" w14:textId="479DA01B" w:rsidR="00584D0B" w:rsidRPr="003D6F28" w:rsidRDefault="00584D0B" w:rsidP="006F5E5D">
                  <w:pPr>
                    <w:pStyle w:val="Listparagraf"/>
                    <w:numPr>
                      <w:ilvl w:val="0"/>
                      <w:numId w:val="19"/>
                    </w:numPr>
                    <w:ind w:left="242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Reducerea supra-iluminării (lumini prea puternice); </w:t>
                  </w:r>
                </w:p>
                <w:p w14:paraId="7EFB5585" w14:textId="5668034F" w:rsidR="00584D0B" w:rsidRPr="003D6F28" w:rsidRDefault="00584D0B" w:rsidP="006F5E5D">
                  <w:pPr>
                    <w:pStyle w:val="Listparagraf"/>
                    <w:numPr>
                      <w:ilvl w:val="0"/>
                      <w:numId w:val="19"/>
                    </w:numPr>
                    <w:ind w:left="242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Orientarea </w:t>
                  </w:r>
                  <w:r w:rsidR="00057B94" w:rsidRPr="003D6F28">
                    <w:rPr>
                      <w:rFonts w:eastAsia="Times New Roman" w:cstheme="minorHAnsi"/>
                      <w:lang w:eastAsia="ro-RO"/>
                    </w:rPr>
                    <w:t>și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 ecranarea surselor de lumină (menținerea luminii în limita </w:t>
                  </w:r>
                  <w:r w:rsidR="00057B94" w:rsidRPr="003D6F28">
                    <w:rPr>
                      <w:rFonts w:eastAsia="Times New Roman" w:cstheme="minorHAnsi"/>
                      <w:lang w:eastAsia="ro-RO"/>
                    </w:rPr>
                    <w:t>proprietății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 sau a zonei desemnate pentru iluminare); </w:t>
                  </w:r>
                </w:p>
                <w:p w14:paraId="786542ED" w14:textId="77777777" w:rsidR="00584D0B" w:rsidRPr="003D6F28" w:rsidRDefault="00584D0B" w:rsidP="006F5E5D">
                  <w:pPr>
                    <w:pStyle w:val="Listparagraf"/>
                    <w:numPr>
                      <w:ilvl w:val="0"/>
                      <w:numId w:val="19"/>
                    </w:numPr>
                    <w:ind w:left="242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Evitarea grupării excesive a luminii (iluminarea doar a zonelor în care este cu adevărat necesar); </w:t>
                  </w:r>
                </w:p>
                <w:p w14:paraId="5F7DE8D9" w14:textId="6927A35D" w:rsidR="00D4616B" w:rsidRPr="003D6F28" w:rsidRDefault="00584D0B" w:rsidP="006F5E5D">
                  <w:pPr>
                    <w:pStyle w:val="Listparagraf"/>
                    <w:numPr>
                      <w:ilvl w:val="0"/>
                      <w:numId w:val="19"/>
                    </w:numPr>
                    <w:ind w:left="242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Reducerea duratei de iluminare (utilizarea temporizatoarelor, a senzorilor de </w:t>
                  </w:r>
                  <w:r w:rsidR="00057B94" w:rsidRPr="003D6F28">
                    <w:rPr>
                      <w:rFonts w:eastAsia="Times New Roman" w:cstheme="minorHAnsi"/>
                      <w:lang w:eastAsia="ro-RO"/>
                    </w:rPr>
                    <w:t>mișcare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>, iluminare adaptivă care estompează sau sting luminile când nu mai sunt necesare</w:t>
                  </w:r>
                  <w:r w:rsidR="006218A3">
                    <w:rPr>
                      <w:rFonts w:eastAsia="Times New Roman" w:cstheme="minorHAnsi"/>
                      <w:lang w:eastAsia="ro-RO"/>
                    </w:rPr>
                    <w:t>,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 etc</w:t>
                  </w:r>
                  <w:r w:rsidR="006218A3">
                    <w:rPr>
                      <w:rFonts w:eastAsia="Times New Roman" w:cstheme="minorHAnsi"/>
                      <w:lang w:eastAsia="ro-RO"/>
                    </w:rPr>
                    <w:t>.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); </w:t>
                  </w:r>
                </w:p>
                <w:p w14:paraId="6F6320F3" w14:textId="1CC8C7B4" w:rsidR="00584D0B" w:rsidRPr="003D6F28" w:rsidRDefault="00584D0B" w:rsidP="006F5E5D">
                  <w:pPr>
                    <w:pStyle w:val="Listparagraf"/>
                    <w:numPr>
                      <w:ilvl w:val="0"/>
                      <w:numId w:val="19"/>
                    </w:numPr>
                    <w:ind w:left="242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Prevederea de surse de iluminat cu lumină caldă, fără culoarea albastră (temperatura culorii să nu depășească 3000 Kelvin), pentru </w:t>
                  </w:r>
                  <w:r w:rsidR="003E0C17" w:rsidRPr="003D6F28">
                    <w:rPr>
                      <w:rFonts w:eastAsia="Times New Roman" w:cstheme="minorHAnsi"/>
                      <w:lang w:eastAsia="ro-RO"/>
                    </w:rPr>
                    <w:t>protecția</w:t>
                  </w:r>
                  <w:r w:rsidRPr="003D6F28">
                    <w:rPr>
                      <w:rFonts w:eastAsia="Times New Roman" w:cstheme="minorHAnsi"/>
                      <w:lang w:eastAsia="ro-RO"/>
                    </w:rPr>
                    <w:t xml:space="preserve"> faunei sălbatice. </w:t>
                  </w:r>
                </w:p>
              </w:tc>
            </w:tr>
          </w:tbl>
          <w:p w14:paraId="55995AE0" w14:textId="6D9C7F00" w:rsidR="008C439A" w:rsidRPr="003D6F28" w:rsidRDefault="008C439A" w:rsidP="00584D0B">
            <w:pPr>
              <w:pStyle w:val="Listparagraf"/>
              <w:spacing w:after="0" w:line="240" w:lineRule="auto"/>
              <w:ind w:left="341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1715" w:type="dxa"/>
            <w:vAlign w:val="center"/>
          </w:tcPr>
          <w:p w14:paraId="344D152D" w14:textId="77777777" w:rsidR="008C439A" w:rsidRPr="003D6F28" w:rsidRDefault="008C439A" w:rsidP="003B5AC2">
            <w:pPr>
              <w:pStyle w:val="Listparagraf"/>
              <w:spacing w:after="0" w:line="240" w:lineRule="auto"/>
              <w:ind w:left="338"/>
              <w:jc w:val="both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5387" w:type="dxa"/>
            <w:vAlign w:val="center"/>
          </w:tcPr>
          <w:p w14:paraId="1DDBEC15" w14:textId="1E585AFF" w:rsidR="008C439A" w:rsidRPr="003D6F28" w:rsidRDefault="008C439A" w:rsidP="003B5AC2">
            <w:pPr>
              <w:spacing w:after="0" w:line="240" w:lineRule="auto"/>
              <w:jc w:val="both"/>
              <w:rPr>
                <w:rFonts w:eastAsia="Times New Roman" w:cstheme="minorHAnsi"/>
                <w:lang w:eastAsia="ro-RO"/>
              </w:rPr>
            </w:pPr>
          </w:p>
        </w:tc>
      </w:tr>
    </w:tbl>
    <w:p w14:paraId="7F5E4D51" w14:textId="43EE4A46" w:rsidR="002D4FBF" w:rsidRPr="003D6F28" w:rsidRDefault="002D4FBF" w:rsidP="002D4FBF">
      <w:pPr>
        <w:spacing w:after="0" w:line="240" w:lineRule="auto"/>
        <w:jc w:val="both"/>
        <w:rPr>
          <w:rFonts w:eastAsia="Times New Roman" w:cstheme="minorHAnsi"/>
          <w:b/>
          <w:lang w:eastAsia="ro-RO"/>
        </w:rPr>
      </w:pPr>
      <w:r w:rsidRPr="003D6F28">
        <w:rPr>
          <w:rFonts w:eastAsia="Times New Roman" w:cstheme="minorHAnsi"/>
          <w:b/>
          <w:lang w:eastAsia="ro-RO"/>
        </w:rPr>
        <w:t xml:space="preserve">Notă: </w:t>
      </w:r>
    </w:p>
    <w:p w14:paraId="12435140" w14:textId="0E0AAD7D" w:rsidR="002D4FBF" w:rsidRPr="003D6F28" w:rsidRDefault="000E56A3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3D6F28">
        <w:rPr>
          <w:rFonts w:eastAsia="Times New Roman" w:cstheme="minorHAnsi"/>
          <w:lang w:eastAsia="ro-RO"/>
        </w:rPr>
        <w:t xml:space="preserve">Pentru proiectele care vizează construcția unor clădiri noi se vor avea în vedere, cu titlu exemplificativ, și măsurile enumerate în compendiul privind Taxonomia la categoria </w:t>
      </w:r>
      <w:hyperlink r:id="rId7" w:history="1"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 xml:space="preserve">Construirea de clădiri noi / </w:t>
        </w:r>
        <w:proofErr w:type="spellStart"/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>Construction</w:t>
        </w:r>
        <w:proofErr w:type="spellEnd"/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 xml:space="preserve"> of </w:t>
        </w:r>
        <w:proofErr w:type="spellStart"/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>new</w:t>
        </w:r>
        <w:proofErr w:type="spellEnd"/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 xml:space="preserve"> </w:t>
        </w:r>
        <w:proofErr w:type="spellStart"/>
        <w:r w:rsidRPr="003D6F28">
          <w:rPr>
            <w:rStyle w:val="Hyperlink"/>
            <w:rFonts w:eastAsia="Times New Roman" w:cstheme="minorHAnsi"/>
            <w:color w:val="auto"/>
            <w:lang w:eastAsia="ro-RO"/>
          </w:rPr>
          <w:t>buildings</w:t>
        </w:r>
        <w:proofErr w:type="spellEnd"/>
      </w:hyperlink>
      <w:r w:rsidRPr="003D6F28">
        <w:rPr>
          <w:rFonts w:eastAsia="Times New Roman" w:cstheme="minorHAnsi"/>
          <w:lang w:eastAsia="ro-RO"/>
        </w:rPr>
        <w:t>.</w:t>
      </w:r>
    </w:p>
    <w:p w14:paraId="1EC04E0E" w14:textId="70FC449E" w:rsidR="0020541A" w:rsidRPr="003D6F28" w:rsidRDefault="00D94E10" w:rsidP="000E56A3">
      <w:pPr>
        <w:spacing w:after="0"/>
        <w:jc w:val="both"/>
        <w:rPr>
          <w:rFonts w:eastAsia="Times New Roman" w:cstheme="minorHAnsi"/>
          <w:lang w:eastAsia="ro-RO"/>
        </w:rPr>
      </w:pPr>
      <w:r w:rsidRPr="003D6F28">
        <w:rPr>
          <w:rFonts w:eastAsia="Times New Roman" w:cstheme="minorHAnsi"/>
          <w:lang w:eastAsia="ro-RO"/>
        </w:rPr>
        <w:t xml:space="preserve">Pentru proiectele care propun masuri suplimentare, se acorda punctaj, conform </w:t>
      </w:r>
      <w:r w:rsidR="00F03016" w:rsidRPr="003D6F28">
        <w:rPr>
          <w:rFonts w:eastAsia="Times New Roman" w:cstheme="minorHAnsi"/>
          <w:lang w:eastAsia="ro-RO"/>
        </w:rPr>
        <w:t xml:space="preserve">Grilei ETF -  Anexa </w:t>
      </w:r>
      <w:r w:rsidR="00594420" w:rsidRPr="003D6F28">
        <w:rPr>
          <w:rFonts w:eastAsia="Times New Roman" w:cstheme="minorHAnsi"/>
          <w:lang w:eastAsia="ro-RO"/>
        </w:rPr>
        <w:t>10</w:t>
      </w:r>
      <w:r w:rsidR="00F03016" w:rsidRPr="003D6F28">
        <w:rPr>
          <w:rFonts w:eastAsia="Times New Roman" w:cstheme="minorHAnsi"/>
          <w:lang w:eastAsia="ro-RO"/>
        </w:rPr>
        <w:t xml:space="preserve"> la Ghidul solicitantului.</w:t>
      </w:r>
    </w:p>
    <w:sectPr w:rsidR="0020541A" w:rsidRPr="003D6F28" w:rsidSect="007A4541">
      <w:headerReference w:type="default" r:id="rId8"/>
      <w:footerReference w:type="default" r:id="rId9"/>
      <w:pgSz w:w="16838" w:h="11906" w:orient="landscape" w:code="9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86D1" w14:textId="77777777" w:rsidR="002B6973" w:rsidRDefault="002B6973" w:rsidP="008D157D">
      <w:pPr>
        <w:spacing w:after="0" w:line="240" w:lineRule="auto"/>
      </w:pPr>
      <w:r>
        <w:separator/>
      </w:r>
    </w:p>
  </w:endnote>
  <w:endnote w:type="continuationSeparator" w:id="0">
    <w:p w14:paraId="4ABFB705" w14:textId="77777777" w:rsidR="002B6973" w:rsidRDefault="002B6973" w:rsidP="008D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87A7" w14:textId="0D4454F7" w:rsidR="00F91430" w:rsidRDefault="00F91430" w:rsidP="00F91430">
    <w:pPr>
      <w:spacing w:after="0"/>
      <w:ind w:left="2880"/>
      <w:rPr>
        <w:rFonts w:ascii="Arial" w:hAnsi="Arial" w:cs="Arial"/>
        <w:b/>
        <w:color w:val="0070C0"/>
        <w:szCs w:val="20"/>
        <w:lang w:val="en-GB"/>
      </w:rPr>
    </w:pPr>
    <w:r w:rsidRPr="00F91430">
      <w:rPr>
        <w:noProof/>
        <w:szCs w:val="20"/>
        <w:lang w:val="en-GB" w:eastAsia="en-GB"/>
      </w:rPr>
      <w:drawing>
        <wp:anchor distT="0" distB="0" distL="114300" distR="114300" simplePos="0" relativeHeight="251659264" behindDoc="0" locked="0" layoutInCell="1" allowOverlap="1" wp14:anchorId="4D89CA57" wp14:editId="117C4FE4">
          <wp:simplePos x="0" y="0"/>
          <wp:positionH relativeFrom="leftMargin">
            <wp:posOffset>914400</wp:posOffset>
          </wp:positionH>
          <wp:positionV relativeFrom="margin">
            <wp:posOffset>8800193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1430">
      <w:rPr>
        <w:rFonts w:ascii="Arial" w:hAnsi="Arial" w:cs="Arial"/>
        <w:b/>
        <w:color w:val="0070C0"/>
        <w:szCs w:val="20"/>
        <w:lang w:val="en-GB"/>
      </w:rPr>
      <w:t xml:space="preserve">         </w:t>
    </w:r>
  </w:p>
  <w:p w14:paraId="57DA1633" w14:textId="3517B019" w:rsidR="00B731F3" w:rsidRPr="00F91430" w:rsidRDefault="00F91430" w:rsidP="00B731F3">
    <w:pPr>
      <w:spacing w:after="0"/>
      <w:rPr>
        <w:rFonts w:ascii="Arial" w:hAnsi="Arial" w:cs="Arial"/>
        <w:b/>
        <w:i/>
        <w:iCs/>
        <w:color w:val="0070C0"/>
        <w:szCs w:val="20"/>
        <w:lang w:val="en-GB"/>
      </w:rPr>
    </w:pPr>
    <w:r>
      <w:rPr>
        <w:rFonts w:ascii="Arial" w:hAnsi="Arial" w:cs="Arial"/>
        <w:b/>
        <w:color w:val="0070C0"/>
        <w:szCs w:val="20"/>
        <w:lang w:val="en-GB"/>
      </w:rPr>
      <w:t xml:space="preserve"> </w:t>
    </w:r>
  </w:p>
  <w:p w14:paraId="649283DB" w14:textId="7EDD4CEF" w:rsidR="00F91430" w:rsidRPr="00F91430" w:rsidRDefault="006F7347" w:rsidP="002059B4">
    <w:pPr>
      <w:spacing w:after="0"/>
      <w:jc w:val="center"/>
      <w:rPr>
        <w:rFonts w:ascii="Arial" w:hAnsi="Arial" w:cs="Arial"/>
        <w:b/>
        <w:i/>
        <w:iCs/>
        <w:color w:val="0070C0"/>
        <w:szCs w:val="20"/>
        <w:lang w:val="en-GB"/>
      </w:rPr>
    </w:pPr>
    <w:r>
      <w:rPr>
        <w:rFonts w:ascii="Arial" w:hAnsi="Arial" w:cs="Arial"/>
        <w:b/>
        <w:i/>
        <w:iCs/>
        <w:noProof/>
        <w:color w:val="0070C0"/>
        <w:szCs w:val="20"/>
        <w:lang w:val="en-GB"/>
      </w:rPr>
      <w:drawing>
        <wp:inline distT="0" distB="0" distL="0" distR="0" wp14:anchorId="0ADD72BA" wp14:editId="5D6A2266">
          <wp:extent cx="9071610" cy="475615"/>
          <wp:effectExtent l="0" t="0" r="0" b="635"/>
          <wp:docPr id="5" name="I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in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161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7852" w14:textId="77777777" w:rsidR="002B6973" w:rsidRDefault="002B6973" w:rsidP="008D157D">
      <w:pPr>
        <w:spacing w:after="0" w:line="240" w:lineRule="auto"/>
      </w:pPr>
      <w:r>
        <w:separator/>
      </w:r>
    </w:p>
  </w:footnote>
  <w:footnote w:type="continuationSeparator" w:id="0">
    <w:p w14:paraId="0532F9FF" w14:textId="77777777" w:rsidR="002B6973" w:rsidRDefault="002B6973" w:rsidP="008D1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B4A" w14:textId="61720742" w:rsidR="00A5108F" w:rsidRDefault="00A5108F">
    <w:pPr>
      <w:pStyle w:val="Antet"/>
    </w:pPr>
  </w:p>
  <w:p w14:paraId="276B46CA" w14:textId="439103B4" w:rsidR="00A5108F" w:rsidRDefault="006F7347" w:rsidP="00A877C9">
    <w:pPr>
      <w:pStyle w:val="Antet"/>
      <w:jc w:val="center"/>
    </w:pPr>
    <w:r>
      <w:rPr>
        <w:noProof/>
      </w:rPr>
      <w:drawing>
        <wp:inline distT="0" distB="0" distL="0" distR="0" wp14:anchorId="2D47EA88" wp14:editId="0EABA358">
          <wp:extent cx="9071610" cy="904875"/>
          <wp:effectExtent l="0" t="0" r="0" b="9525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1610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F1F59" w14:textId="7202BDCF" w:rsidR="00F91430" w:rsidRDefault="00F9143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627"/>
    <w:multiLevelType w:val="hybridMultilevel"/>
    <w:tmpl w:val="51EC62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</w:abstractNum>
  <w:abstractNum w:abstractNumId="1" w15:restartNumberingAfterBreak="0">
    <w:nsid w:val="0F8F1247"/>
    <w:multiLevelType w:val="hybridMultilevel"/>
    <w:tmpl w:val="438E1B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" w15:restartNumberingAfterBreak="0">
    <w:nsid w:val="14C756D5"/>
    <w:multiLevelType w:val="hybridMultilevel"/>
    <w:tmpl w:val="D4A2C95A"/>
    <w:lvl w:ilvl="0" w:tplc="0712A5F4">
      <w:start w:val="1"/>
      <w:numFmt w:val="lowerLetter"/>
      <w:lvlText w:val="%1)"/>
      <w:lvlJc w:val="left"/>
      <w:pPr>
        <w:ind w:left="2058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3" w15:restartNumberingAfterBreak="0">
    <w:nsid w:val="21753229"/>
    <w:multiLevelType w:val="hybridMultilevel"/>
    <w:tmpl w:val="253E3C2E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21FE368D"/>
    <w:multiLevelType w:val="hybridMultilevel"/>
    <w:tmpl w:val="54AE0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834AC"/>
    <w:multiLevelType w:val="hybridMultilevel"/>
    <w:tmpl w:val="EFB0B7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4895191"/>
    <w:multiLevelType w:val="hybridMultilevel"/>
    <w:tmpl w:val="D6A062FA"/>
    <w:lvl w:ilvl="0" w:tplc="040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2B79766C"/>
    <w:multiLevelType w:val="hybridMultilevel"/>
    <w:tmpl w:val="7326FEB6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 w15:restartNumberingAfterBreak="0">
    <w:nsid w:val="3002671B"/>
    <w:multiLevelType w:val="hybridMultilevel"/>
    <w:tmpl w:val="0B0AD462"/>
    <w:lvl w:ilvl="0" w:tplc="0809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9" w15:restartNumberingAfterBreak="0">
    <w:nsid w:val="326627EE"/>
    <w:multiLevelType w:val="hybridMultilevel"/>
    <w:tmpl w:val="A768CC1A"/>
    <w:lvl w:ilvl="0" w:tplc="0054F236">
      <w:start w:val="1"/>
      <w:numFmt w:val="upperLetter"/>
      <w:lvlText w:val="%1."/>
      <w:lvlJc w:val="left"/>
      <w:pPr>
        <w:ind w:left="6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0" w15:restartNumberingAfterBreak="0">
    <w:nsid w:val="44217925"/>
    <w:multiLevelType w:val="hybridMultilevel"/>
    <w:tmpl w:val="1280FC34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 w15:restartNumberingAfterBreak="0">
    <w:nsid w:val="45576E1A"/>
    <w:multiLevelType w:val="hybridMultilevel"/>
    <w:tmpl w:val="80E2D0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AF7472"/>
    <w:multiLevelType w:val="hybridMultilevel"/>
    <w:tmpl w:val="7BE0D4C0"/>
    <w:lvl w:ilvl="0" w:tplc="137E3714">
      <w:start w:val="1"/>
      <w:numFmt w:val="decimal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3" w15:restartNumberingAfterBreak="0">
    <w:nsid w:val="54464176"/>
    <w:multiLevelType w:val="hybridMultilevel"/>
    <w:tmpl w:val="5818126A"/>
    <w:lvl w:ilvl="0" w:tplc="0418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4" w15:restartNumberingAfterBreak="0">
    <w:nsid w:val="56B35958"/>
    <w:multiLevelType w:val="hybridMultilevel"/>
    <w:tmpl w:val="789422C8"/>
    <w:lvl w:ilvl="0" w:tplc="7C7E78F8">
      <w:numFmt w:val="bullet"/>
      <w:lvlText w:val="-"/>
      <w:lvlJc w:val="left"/>
      <w:pPr>
        <w:ind w:left="663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5" w15:restartNumberingAfterBreak="0">
    <w:nsid w:val="6D0527B9"/>
    <w:multiLevelType w:val="hybridMultilevel"/>
    <w:tmpl w:val="33048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04A7A"/>
    <w:multiLevelType w:val="hybridMultilevel"/>
    <w:tmpl w:val="E1F644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 w15:restartNumberingAfterBreak="0">
    <w:nsid w:val="6FB954E2"/>
    <w:multiLevelType w:val="hybridMultilevel"/>
    <w:tmpl w:val="6558438E"/>
    <w:lvl w:ilvl="0" w:tplc="0409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7F34400B"/>
    <w:multiLevelType w:val="hybridMultilevel"/>
    <w:tmpl w:val="786E9DFC"/>
    <w:lvl w:ilvl="0" w:tplc="9BDE3C16">
      <w:start w:val="1"/>
      <w:numFmt w:val="upperLetter"/>
      <w:lvlText w:val="%1."/>
      <w:lvlJc w:val="left"/>
      <w:pPr>
        <w:ind w:left="303" w:hanging="360"/>
      </w:pPr>
      <w:rPr>
        <w:rFonts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5"/>
  </w:num>
  <w:num w:numId="6">
    <w:abstractNumId w:val="14"/>
  </w:num>
  <w:num w:numId="7">
    <w:abstractNumId w:val="2"/>
  </w:num>
  <w:num w:numId="8">
    <w:abstractNumId w:val="10"/>
  </w:num>
  <w:num w:numId="9">
    <w:abstractNumId w:val="6"/>
  </w:num>
  <w:num w:numId="10">
    <w:abstractNumId w:val="17"/>
  </w:num>
  <w:num w:numId="11">
    <w:abstractNumId w:val="12"/>
  </w:num>
  <w:num w:numId="12">
    <w:abstractNumId w:val="18"/>
  </w:num>
  <w:num w:numId="13">
    <w:abstractNumId w:val="9"/>
  </w:num>
  <w:num w:numId="14">
    <w:abstractNumId w:val="0"/>
  </w:num>
  <w:num w:numId="15">
    <w:abstractNumId w:val="8"/>
  </w:num>
  <w:num w:numId="16">
    <w:abstractNumId w:val="11"/>
  </w:num>
  <w:num w:numId="17">
    <w:abstractNumId w:val="1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CA3"/>
    <w:rsid w:val="00013DAB"/>
    <w:rsid w:val="000204F9"/>
    <w:rsid w:val="00034B0E"/>
    <w:rsid w:val="00057B94"/>
    <w:rsid w:val="000629D0"/>
    <w:rsid w:val="000E56A3"/>
    <w:rsid w:val="00125A6D"/>
    <w:rsid w:val="001351D0"/>
    <w:rsid w:val="00163E4B"/>
    <w:rsid w:val="0017040F"/>
    <w:rsid w:val="001711A5"/>
    <w:rsid w:val="001A62B6"/>
    <w:rsid w:val="001D0325"/>
    <w:rsid w:val="001E2255"/>
    <w:rsid w:val="0020541A"/>
    <w:rsid w:val="002059B4"/>
    <w:rsid w:val="00222DB6"/>
    <w:rsid w:val="002415BF"/>
    <w:rsid w:val="00283DD0"/>
    <w:rsid w:val="00297D74"/>
    <w:rsid w:val="002A5DDB"/>
    <w:rsid w:val="002B0E4E"/>
    <w:rsid w:val="002B4B42"/>
    <w:rsid w:val="002B6973"/>
    <w:rsid w:val="002D4FBF"/>
    <w:rsid w:val="002D689A"/>
    <w:rsid w:val="002E2D93"/>
    <w:rsid w:val="002F0176"/>
    <w:rsid w:val="00301EBB"/>
    <w:rsid w:val="003075A1"/>
    <w:rsid w:val="00374223"/>
    <w:rsid w:val="00392901"/>
    <w:rsid w:val="003A5C5B"/>
    <w:rsid w:val="003A62B8"/>
    <w:rsid w:val="003B5AC2"/>
    <w:rsid w:val="003D6F28"/>
    <w:rsid w:val="003E0C17"/>
    <w:rsid w:val="003E1BF5"/>
    <w:rsid w:val="003E26FD"/>
    <w:rsid w:val="003F4E1A"/>
    <w:rsid w:val="003F7277"/>
    <w:rsid w:val="00426F3D"/>
    <w:rsid w:val="00451624"/>
    <w:rsid w:val="0045774A"/>
    <w:rsid w:val="0047724A"/>
    <w:rsid w:val="0047762F"/>
    <w:rsid w:val="004849C6"/>
    <w:rsid w:val="004B0040"/>
    <w:rsid w:val="004C69A9"/>
    <w:rsid w:val="004C6D39"/>
    <w:rsid w:val="004D6D09"/>
    <w:rsid w:val="00516BEE"/>
    <w:rsid w:val="00532665"/>
    <w:rsid w:val="005330C5"/>
    <w:rsid w:val="0055382B"/>
    <w:rsid w:val="005656FA"/>
    <w:rsid w:val="00574043"/>
    <w:rsid w:val="00574878"/>
    <w:rsid w:val="00583030"/>
    <w:rsid w:val="00584D0B"/>
    <w:rsid w:val="005865AC"/>
    <w:rsid w:val="00594420"/>
    <w:rsid w:val="005B4527"/>
    <w:rsid w:val="005D7E3C"/>
    <w:rsid w:val="00604664"/>
    <w:rsid w:val="006218A3"/>
    <w:rsid w:val="00635B82"/>
    <w:rsid w:val="006A1E62"/>
    <w:rsid w:val="006C0961"/>
    <w:rsid w:val="006C36F2"/>
    <w:rsid w:val="006D064E"/>
    <w:rsid w:val="006E1009"/>
    <w:rsid w:val="006F5E5D"/>
    <w:rsid w:val="006F7347"/>
    <w:rsid w:val="0072496D"/>
    <w:rsid w:val="00734690"/>
    <w:rsid w:val="0073745D"/>
    <w:rsid w:val="007420BE"/>
    <w:rsid w:val="00756C63"/>
    <w:rsid w:val="00797862"/>
    <w:rsid w:val="007A4541"/>
    <w:rsid w:val="007B65E9"/>
    <w:rsid w:val="007D09C4"/>
    <w:rsid w:val="007E19DB"/>
    <w:rsid w:val="007E2FFE"/>
    <w:rsid w:val="008447D2"/>
    <w:rsid w:val="00873155"/>
    <w:rsid w:val="00882F9C"/>
    <w:rsid w:val="008C439A"/>
    <w:rsid w:val="008D157D"/>
    <w:rsid w:val="008F1721"/>
    <w:rsid w:val="009034D8"/>
    <w:rsid w:val="0093729D"/>
    <w:rsid w:val="00977378"/>
    <w:rsid w:val="009B145A"/>
    <w:rsid w:val="009B2CA3"/>
    <w:rsid w:val="009C1BE4"/>
    <w:rsid w:val="009E48FF"/>
    <w:rsid w:val="009F1BBA"/>
    <w:rsid w:val="00A4324B"/>
    <w:rsid w:val="00A46849"/>
    <w:rsid w:val="00A5108F"/>
    <w:rsid w:val="00A63AA7"/>
    <w:rsid w:val="00A83957"/>
    <w:rsid w:val="00A8484A"/>
    <w:rsid w:val="00A877C9"/>
    <w:rsid w:val="00AB08D3"/>
    <w:rsid w:val="00AD064C"/>
    <w:rsid w:val="00AD1245"/>
    <w:rsid w:val="00AF4EA2"/>
    <w:rsid w:val="00B13025"/>
    <w:rsid w:val="00B16B41"/>
    <w:rsid w:val="00B37327"/>
    <w:rsid w:val="00B55A43"/>
    <w:rsid w:val="00B731F3"/>
    <w:rsid w:val="00B76C36"/>
    <w:rsid w:val="00BA322A"/>
    <w:rsid w:val="00BA434E"/>
    <w:rsid w:val="00BD223A"/>
    <w:rsid w:val="00C21B89"/>
    <w:rsid w:val="00C366B4"/>
    <w:rsid w:val="00C74C96"/>
    <w:rsid w:val="00C918E7"/>
    <w:rsid w:val="00CB2EDB"/>
    <w:rsid w:val="00CB4497"/>
    <w:rsid w:val="00CC594B"/>
    <w:rsid w:val="00CE2492"/>
    <w:rsid w:val="00CE3EFE"/>
    <w:rsid w:val="00D306F5"/>
    <w:rsid w:val="00D44E97"/>
    <w:rsid w:val="00D4616B"/>
    <w:rsid w:val="00D83FA2"/>
    <w:rsid w:val="00D94E10"/>
    <w:rsid w:val="00DC5DA5"/>
    <w:rsid w:val="00DD3496"/>
    <w:rsid w:val="00E03378"/>
    <w:rsid w:val="00E32E20"/>
    <w:rsid w:val="00E53D92"/>
    <w:rsid w:val="00E5538A"/>
    <w:rsid w:val="00EB5C9E"/>
    <w:rsid w:val="00EE6BBD"/>
    <w:rsid w:val="00F03016"/>
    <w:rsid w:val="00F21B58"/>
    <w:rsid w:val="00F31947"/>
    <w:rsid w:val="00F6430D"/>
    <w:rsid w:val="00F73948"/>
    <w:rsid w:val="00F91430"/>
    <w:rsid w:val="00F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90656B"/>
  <w15:chartTrackingRefBased/>
  <w15:docId w15:val="{73CF4E54-A039-4208-8138-5F8C4E0C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style01">
    <w:name w:val="fontstyle01"/>
    <w:basedOn w:val="Fontdeparagrafimplicit"/>
    <w:rsid w:val="00034B0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Fontdeparagrafimplicit"/>
    <w:rsid w:val="00034B0E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istparagraf">
    <w:name w:val="List Paragraph"/>
    <w:basedOn w:val="Normal"/>
    <w:uiPriority w:val="34"/>
    <w:qFormat/>
    <w:rsid w:val="00756C63"/>
    <w:pPr>
      <w:ind w:left="720"/>
      <w:contextualSpacing/>
    </w:p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D157D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D157D"/>
    <w:rPr>
      <w:sz w:val="20"/>
      <w:szCs w:val="20"/>
    </w:rPr>
  </w:style>
  <w:style w:type="character" w:styleId="Referinnotdesubsol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uiPriority w:val="99"/>
    <w:unhideWhenUsed/>
    <w:qFormat/>
    <w:rsid w:val="008D157D"/>
    <w:rPr>
      <w:vertAlign w:val="superscript"/>
    </w:rPr>
  </w:style>
  <w:style w:type="table" w:styleId="Tabelgril">
    <w:name w:val="Table Grid"/>
    <w:basedOn w:val="TabelNormal"/>
    <w:uiPriority w:val="39"/>
    <w:rsid w:val="007A4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2D4FBF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0E56A3"/>
    <w:rPr>
      <w:color w:val="605E5C"/>
      <w:shd w:val="clear" w:color="auto" w:fill="E1DFDD"/>
    </w:rPr>
  </w:style>
  <w:style w:type="paragraph" w:styleId="Antet">
    <w:name w:val="header"/>
    <w:basedOn w:val="Normal"/>
    <w:link w:val="AntetCaracte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351D0"/>
  </w:style>
  <w:style w:type="paragraph" w:styleId="Subsol">
    <w:name w:val="footer"/>
    <w:basedOn w:val="Normal"/>
    <w:link w:val="SubsolCaracter"/>
    <w:uiPriority w:val="99"/>
    <w:unhideWhenUsed/>
    <w:rsid w:val="001351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351D0"/>
  </w:style>
  <w:style w:type="paragraph" w:customStyle="1" w:styleId="Default">
    <w:name w:val="Default"/>
    <w:rsid w:val="007D09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c.europa.eu/sustainable-finance-taxonomy/activities/activity/223/vi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698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PAULA-ANDRA PRUNECI</cp:lastModifiedBy>
  <cp:revision>28</cp:revision>
  <cp:lastPrinted>2023-06-08T12:34:00Z</cp:lastPrinted>
  <dcterms:created xsi:type="dcterms:W3CDTF">2023-10-10T09:22:00Z</dcterms:created>
  <dcterms:modified xsi:type="dcterms:W3CDTF">2024-04-26T10:37:00Z</dcterms:modified>
</cp:coreProperties>
</file>